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B986" w14:textId="5AE7BDDD" w:rsidR="00923F85" w:rsidRDefault="00AC7DF2" w:rsidP="00F26D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E6010CF" w14:textId="6D4BA1E0" w:rsidR="001E4E64" w:rsidRPr="00EA1E1E" w:rsidRDefault="001B59B0" w:rsidP="00EA1E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bdr w:val="none" w:sz="0" w:space="0" w:color="auto"/>
        </w:rPr>
      </w:pPr>
      <w:r w:rsidRPr="00EA1E1E"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bdr w:val="none" w:sz="0" w:space="0" w:color="auto"/>
        </w:rPr>
        <w:t>Beatrice Rana al Teatro di San Carlo</w:t>
      </w:r>
    </w:p>
    <w:p w14:paraId="10E05D74" w14:textId="4C68D876" w:rsidR="001B59B0" w:rsidRPr="00EA1E1E" w:rsidRDefault="00464C8D" w:rsidP="00464C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Mercoledì 21 gennaio i</w:t>
      </w:r>
      <w:r w:rsidR="00EA1E1E" w:rsidRPr="00EA1E1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naugura il Festival Pianistico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br/>
      </w:r>
      <w:r w:rsidR="00EA1E1E" w:rsidRPr="00EA1E1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con </w:t>
      </w:r>
      <w:r w:rsidR="001B59B0" w:rsidRPr="00EA1E1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Prokof’ev, Debussy e Čajkovskij</w:t>
      </w:r>
    </w:p>
    <w:p w14:paraId="25AD654F" w14:textId="77777777" w:rsidR="001B59B0" w:rsidRPr="00BE03C1" w:rsidRDefault="001B59B0" w:rsidP="00923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bdr w:val="none" w:sz="0" w:space="0" w:color="auto"/>
        </w:rPr>
      </w:pPr>
    </w:p>
    <w:p w14:paraId="611A21F0" w14:textId="3DBEC401" w:rsidR="009A7526" w:rsidRDefault="001E4E64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E03C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Napoli, </w:t>
      </w:r>
      <w:r w:rsidR="00B97AE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20</w:t>
      </w:r>
      <w:r w:rsidRPr="00BE03C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 gennaio 2026</w:t>
      </w:r>
      <w:r w:rsidRPr="00BE03C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464C8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="00BE03C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464C8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Al via la </w:t>
      </w:r>
      <w:r w:rsidR="00BE03C1" w:rsidRPr="00BE03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quinta edizione</w:t>
      </w:r>
      <w:r w:rsidR="00BE03C1" w:rsidRPr="00BE03C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del </w:t>
      </w:r>
      <w:r w:rsidR="00BE03C1" w:rsidRPr="00BE03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Festival Pianistico</w:t>
      </w:r>
      <w:r w:rsidR="00BE03C1" w:rsidRPr="00BE03C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al </w:t>
      </w:r>
      <w:r w:rsidR="00BE03C1" w:rsidRPr="00BE03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Teatro di San Carlo</w:t>
      </w:r>
      <w:r w:rsidR="00EE4A3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: il </w:t>
      </w:r>
      <w:r w:rsidR="00475DE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primo appuntamento della rassegna, </w:t>
      </w:r>
      <w:r w:rsidR="00475DE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</w:t>
      </w:r>
      <w:r w:rsidR="00475DE8" w:rsidRPr="00BE03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ercoledì 21 gennaio 2026</w:t>
      </w:r>
      <w:r w:rsidR="00475DE8" w:rsidRPr="00BE03C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475DE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(</w:t>
      </w:r>
      <w:r w:rsidR="00464C8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ore </w:t>
      </w:r>
      <w:r w:rsidR="00475DE8" w:rsidRPr="00BE03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20</w:t>
      </w:r>
      <w:r w:rsidR="00475DE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), vede protagonista </w:t>
      </w:r>
      <w:r w:rsidR="00BE03C1" w:rsidRPr="00BE03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Beatrice Rana</w:t>
      </w:r>
      <w:r w:rsidR="00BE03C1" w:rsidRPr="00BE03C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1B59B0" w:rsidRPr="00BE03C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una delle pianiste più acclamate della scena internazionale</w:t>
      </w:r>
      <w:r w:rsidR="001779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69EAA4D4" w14:textId="77777777" w:rsidR="00083664" w:rsidRDefault="00083664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46DE076" w14:textId="417609FD" w:rsidR="00EA1E1E" w:rsidRDefault="009A7526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9A75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</w:t>
      </w:r>
      <w:r w:rsidR="00CE659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programma </w:t>
      </w:r>
      <w:r w:rsidR="00475DE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del recital </w:t>
      </w:r>
      <w:r w:rsidR="003C6E0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pone </w:t>
      </w:r>
      <w:r w:rsidRPr="009A75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 relazione </w:t>
      </w:r>
      <w:r w:rsidR="003C6E0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diverse </w:t>
      </w:r>
      <w:r w:rsidRPr="009A75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prospettive</w:t>
      </w:r>
      <w:r w:rsidR="00475DE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: </w:t>
      </w:r>
      <w:r w:rsidR="00E01F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forza espressiva </w:t>
      </w:r>
      <w:r w:rsidRPr="009A75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di </w:t>
      </w:r>
      <w:r w:rsidRPr="00CE659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Prokof’e</w:t>
      </w:r>
      <w:r w:rsidR="0097784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v</w:t>
      </w:r>
      <w:r w:rsidRPr="009A75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E01F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la ricchezza</w:t>
      </w:r>
      <w:r w:rsidR="003C6E0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9A75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timbrica di </w:t>
      </w:r>
      <w:r w:rsidRPr="003C6E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Debussy</w:t>
      </w:r>
      <w:r w:rsidRPr="009A75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la rilettura virtuosistica di </w:t>
      </w:r>
      <w:r w:rsidRPr="00CE659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Čajkovskij</w:t>
      </w:r>
      <w:r w:rsidRPr="009A75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secondo </w:t>
      </w:r>
      <w:r w:rsidRPr="003C6E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Pletnev</w:t>
      </w:r>
      <w:r w:rsidRPr="009A75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  <w:r w:rsidR="003C6E0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9A75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Ne risulta un itinerario </w:t>
      </w:r>
      <w:r w:rsidR="00493F1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pianistico </w:t>
      </w:r>
      <w:r w:rsidRPr="009A752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che attraversa funzioni e linguaggi dello strumento, dal quadro narrativo alla miniatura, fino alla grande architettura della Sonata</w:t>
      </w:r>
      <w:r w:rsidR="0001255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4510E5E4" w14:textId="77777777" w:rsidR="00B63919" w:rsidRPr="00BE03C1" w:rsidRDefault="00B63919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71EFB81" w14:textId="47A0BBBC" w:rsidR="003C6E0F" w:rsidRDefault="003C6E0F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 apertura, una </w:t>
      </w:r>
      <w:r w:rsidR="001B59B0" w:rsidRPr="00BE03C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selezione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di pezzi dal </w:t>
      </w:r>
      <w:r w:rsidRPr="003C6E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</w:t>
      </w:r>
      <w:r w:rsidR="001B59B0" w:rsidRPr="003C6E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Romeo e Giulietta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”</w:t>
      </w:r>
      <w:r w:rsidRPr="003C6E0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  <w:r w:rsidR="001B59B0" w:rsidRPr="003C6E0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1B59B0" w:rsidRPr="003C6E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op. 75</w:t>
      </w:r>
      <w:r w:rsidR="001B59B0" w:rsidRPr="00BE03C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</w:t>
      </w:r>
      <w:r w:rsidR="001B59B0" w:rsidRPr="003C6E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Sergej Prokof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’</w:t>
      </w:r>
      <w:r w:rsidR="001B59B0" w:rsidRPr="003C6E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ev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EA1E1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introduce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il pianoforte come spazio scenico</w:t>
      </w:r>
      <w:r w:rsidR="00B6391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8D7F3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con quattro caratteri che delineano una drammaturgia sintetica, ma riconoscibile:</w:t>
      </w:r>
      <w:r w:rsidR="00EA1E1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l’andamento solenne dei </w:t>
      </w:r>
      <w:r w:rsidRPr="003C6E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“Montecchi e i Capuleti”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EA1E1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scrittura </w:t>
      </w:r>
      <w:r w:rsidR="008D7F3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meditativa</w:t>
      </w:r>
      <w:r w:rsidR="00EA1E1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</w:t>
      </w:r>
      <w:r w:rsidR="00EA1E1E" w:rsidRPr="00EA1E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“Frate Lorenzo”</w:t>
      </w:r>
      <w:r w:rsidR="00EA1E1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la leggerezza di </w:t>
      </w:r>
      <w:r w:rsidR="00EA1E1E" w:rsidRPr="00EA1E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“Giulietta</w:t>
      </w:r>
      <w:r w:rsidR="00EA1E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, giovane ragazza</w:t>
      </w:r>
      <w:r w:rsidR="00EA1E1E" w:rsidRPr="00EA1E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”</w:t>
      </w:r>
      <w:r w:rsidR="00EA1E1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il profilo brillante di </w:t>
      </w:r>
      <w:r w:rsidR="00EA1E1E" w:rsidRPr="00EA1E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“Mercuzio”</w:t>
      </w:r>
      <w:r w:rsidR="00EA1E1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</w:p>
    <w:p w14:paraId="69BC000F" w14:textId="3C0CFFDE" w:rsidR="001B59B0" w:rsidRDefault="001B59B0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E03C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Segue </w:t>
      </w:r>
      <w:r w:rsidR="004214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</w:t>
      </w:r>
      <w:r w:rsidR="008D7F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Livre II </w:t>
      </w:r>
      <w:r w:rsidR="008D7F3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dai </w:t>
      </w:r>
      <w:r w:rsidR="008D7F39" w:rsidRPr="008D7F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</w:t>
      </w:r>
      <w:proofErr w:type="spellStart"/>
      <w:r w:rsidRPr="008D7F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Douze</w:t>
      </w:r>
      <w:proofErr w:type="spellEnd"/>
      <w:r w:rsidRPr="008D7F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proofErr w:type="spellStart"/>
      <w:r w:rsidRPr="008D7F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Études</w:t>
      </w:r>
      <w:proofErr w:type="spellEnd"/>
      <w:r w:rsidR="008D7F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”</w:t>
      </w:r>
      <w:r w:rsidR="008D7F39" w:rsidRPr="008D7F3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  <w:r w:rsidR="008D7F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L </w:t>
      </w:r>
      <w:r w:rsidR="008D7F39" w:rsidRPr="008D7F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143</w:t>
      </w:r>
      <w:r w:rsidR="008D7F3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ultimo lavoro pianistico di </w:t>
      </w:r>
      <w:r w:rsidRPr="008D7F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Claude Debussy</w:t>
      </w:r>
      <w:r w:rsidR="00B6391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: pur mantenendo al centro l’aspetto tecnico, </w:t>
      </w:r>
      <w:r w:rsidR="008D7F39" w:rsidRPr="008D7F3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ogni studio </w:t>
      </w:r>
      <w:r w:rsidR="00B6391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sviluppa un</w:t>
      </w:r>
      <w:r w:rsidR="004214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 </w:t>
      </w:r>
      <w:r w:rsidR="00B6391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propri</w:t>
      </w:r>
      <w:r w:rsidR="004214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 </w:t>
      </w:r>
      <w:r w:rsidR="004214E7" w:rsidRPr="004214E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dimensione </w:t>
      </w:r>
      <w:r w:rsidR="00B6391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timbric</w:t>
      </w:r>
      <w:r w:rsidR="004214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</w:t>
      </w:r>
      <w:r w:rsidR="00B6391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22BBAEDA" w14:textId="7245A070" w:rsidR="00EA1E1E" w:rsidRPr="00012555" w:rsidRDefault="00012555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Nell’</w:t>
      </w:r>
      <w:r w:rsidR="00EA1E1E" w:rsidRPr="00EA1E1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arrangiamento di </w:t>
      </w:r>
      <w:r w:rsidRPr="000125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Michail</w:t>
      </w:r>
      <w:r w:rsidRPr="0001255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Pr="000125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Pletnëv </w:t>
      </w:r>
      <w:r w:rsidR="00EA1E1E" w:rsidRPr="00EA1E1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della </w:t>
      </w:r>
      <w:r w:rsidR="00EA1E1E" w:rsidRPr="000125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Suite d</w:t>
      </w:r>
      <w:r w:rsidR="00FB4F4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</w:t>
      </w:r>
      <w:r w:rsidR="00EA1E1E" w:rsidRPr="000125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Lo </w:t>
      </w:r>
      <w:r w:rsidR="00FB4F4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</w:t>
      </w:r>
      <w:r w:rsidR="00EA1E1E" w:rsidRPr="000125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chiaccianoci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”, op. 71a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di </w:t>
      </w:r>
      <w:r w:rsidRPr="000125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Pëtr Il'ič Čajkovskij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01255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pianoforte </w:t>
      </w:r>
      <w:r w:rsidR="00B6391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assume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01255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un</w:t>
      </w:r>
      <w:r w:rsidR="004214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’impronta </w:t>
      </w:r>
      <w:r w:rsidRPr="0001255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quasi orchestrale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: n</w:t>
      </w:r>
      <w:r w:rsidRPr="0001255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on una semplice riduzione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ma una reinvenzione </w:t>
      </w:r>
      <w:r w:rsidR="00B63919" w:rsidRPr="00B6391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che rielabora il materiale originale con passaggi di grande </w:t>
      </w:r>
      <w:r w:rsidR="00B6391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virtuosismo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58EA6305" w14:textId="5D39AA14" w:rsidR="00843612" w:rsidRDefault="00B63919" w:rsidP="008436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Torna</w:t>
      </w:r>
      <w:r w:rsidRPr="00B6391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Pr="003C6E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Prokof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’</w:t>
      </w:r>
      <w:r w:rsidRPr="003C6E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ev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in chiusura, con la </w:t>
      </w:r>
      <w:r w:rsidR="001B59B0" w:rsidRPr="00B6391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Sonata n. 6 in la maggiore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1B59B0" w:rsidRPr="00B6391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op. 82</w:t>
      </w:r>
      <w:r w:rsid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È la prima delle cosiddette “Sonate di guerra”, </w:t>
      </w:r>
      <w:r w:rsidR="00843612"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un’opera che incarna la tensione dell’epoca</w:t>
      </w:r>
      <w:r w:rsid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alla vigilia del secondo c</w:t>
      </w:r>
      <w:r w:rsidR="004214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</w:t>
      </w:r>
      <w:r w:rsid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nflitto mondiale</w:t>
      </w:r>
      <w:r w:rsidR="004214E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  <w:r w:rsid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843612"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 cui la solidità della forma tradizionale convive con </w:t>
      </w:r>
      <w:r w:rsid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durezza del </w:t>
      </w:r>
      <w:r w:rsidR="00843612"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linguaggio armonico.</w:t>
      </w:r>
    </w:p>
    <w:p w14:paraId="17EC48A6" w14:textId="77777777" w:rsidR="00843612" w:rsidRDefault="00843612" w:rsidP="008436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7508278" w14:textId="63B57B97" w:rsidR="00F26D38" w:rsidRPr="00843612" w:rsidRDefault="00F26D38" w:rsidP="00F26D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Festival Pianistico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proseguirà con i seguenti appuntamenti: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10 marzo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20)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Seong-Jin Cho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;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19 marzo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20)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Hélène Grimaud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; </w:t>
      </w:r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12 ottobre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20) </w:t>
      </w:r>
      <w:proofErr w:type="spellStart"/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Yunchan</w:t>
      </w:r>
      <w:proofErr w:type="spellEnd"/>
      <w:r w:rsidRPr="00F26D3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Lim</w:t>
      </w:r>
      <w:r w:rsidRP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6B6330B5" w14:textId="77777777" w:rsidR="00F26D38" w:rsidRDefault="00F26D38" w:rsidP="008436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7F386357" w14:textId="51FCD423" w:rsidR="00843612" w:rsidRDefault="00843612" w:rsidP="008436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84361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Beatrice Rana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si è imposta all’attenzione internazionale </w:t>
      </w:r>
      <w:r w:rsidR="000441F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 seguito al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Concorso Van Cliburn</w:t>
      </w:r>
      <w:r w:rsidR="000441F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464C8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 </w:t>
      </w:r>
      <w:r w:rsidR="000441F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cui prende parte nel 2013. È da allora che </w:t>
      </w:r>
      <w:r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collabora con direttori e orchestre di primo piano a livello internazionale, tra cui Zubin Mehta, Riccardo Chailly, Antonio Pappano, la Filarmonica di Berlino, la Royal </w:t>
      </w:r>
      <w:proofErr w:type="spellStart"/>
      <w:r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Concertgebouw</w:t>
      </w:r>
      <w:proofErr w:type="spellEnd"/>
      <w:r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la London Symphony e l’Orchestra dell’Accademia Nazionale di Santa Cecilia. </w:t>
      </w:r>
      <w:r w:rsidR="00475DE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Si</w:t>
      </w:r>
      <w:r w:rsidR="000441F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esibisce </w:t>
      </w:r>
      <w:r w:rsidR="000441F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regolarmente </w:t>
      </w:r>
      <w:r w:rsidR="000441F2" w:rsidRPr="000441F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 recital nelle sale più prestigiose di tutto il mondo </w:t>
      </w:r>
      <w:r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</w:t>
      </w:r>
      <w:r w:rsidR="000441F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 è ospite di importanti </w:t>
      </w:r>
      <w:r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festival </w:t>
      </w:r>
      <w:r w:rsidR="000441F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tra cui </w:t>
      </w:r>
      <w:r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 BBC Proms e il Festival de </w:t>
      </w:r>
      <w:proofErr w:type="spellStart"/>
      <w:r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Pâques</w:t>
      </w:r>
      <w:proofErr w:type="spellEnd"/>
      <w:r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d’Aix</w:t>
      </w:r>
      <w:r w:rsid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en</w:t>
      </w:r>
      <w:r w:rsidR="00F26D3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84361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Provence.</w:t>
      </w:r>
    </w:p>
    <w:p w14:paraId="5D4415EB" w14:textId="77777777" w:rsidR="00F26D38" w:rsidRDefault="00F26D38" w:rsidP="008436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57A6AE2" w14:textId="44532E31" w:rsidR="00475DE8" w:rsidRDefault="00475D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D3689EC" w14:textId="77777777" w:rsidR="00083664" w:rsidRDefault="0008366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195D93B" w14:textId="77777777" w:rsidR="00083664" w:rsidRDefault="0008366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4653736" w14:textId="77777777" w:rsidR="00083664" w:rsidRDefault="0008366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F378512" w14:textId="77777777" w:rsidR="00F26D38" w:rsidRDefault="00F26D3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AF27129" w14:textId="77777777" w:rsidR="00F26D38" w:rsidRDefault="00F26D3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BF73BCE" w14:textId="77777777" w:rsidR="00B97AE8" w:rsidRPr="00FB4F44" w:rsidRDefault="00B97AE8" w:rsidP="00B97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FB4F4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lastRenderedPageBreak/>
        <w:t>Stagione 25/26</w:t>
      </w:r>
    </w:p>
    <w:p w14:paraId="2A288973" w14:textId="5E18038D" w:rsidR="00B97AE8" w:rsidRPr="00FB4F44" w:rsidRDefault="00B97AE8" w:rsidP="00B97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FB4F4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21 gennaio 2026</w:t>
      </w:r>
    </w:p>
    <w:p w14:paraId="3B527770" w14:textId="77777777" w:rsidR="00B97AE8" w:rsidRPr="00FB4F44" w:rsidRDefault="00B97AE8" w:rsidP="00B97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702DC928" w14:textId="77777777" w:rsidR="00B97AE8" w:rsidRPr="00FB4F44" w:rsidRDefault="00B97AE8" w:rsidP="00B97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bdr w:val="none" w:sz="0" w:space="0" w:color="auto"/>
        </w:rPr>
      </w:pPr>
      <w:r w:rsidRPr="00FB4F44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bdr w:val="none" w:sz="0" w:space="0" w:color="auto"/>
        </w:rPr>
        <w:t>Beatrice Rana</w:t>
      </w:r>
    </w:p>
    <w:p w14:paraId="146CAC6D" w14:textId="0070BD97" w:rsidR="00B97AE8" w:rsidRPr="00B97AE8" w:rsidRDefault="00B97AE8" w:rsidP="00B97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/>
        </w:rPr>
      </w:pP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Pianoforte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 </w:t>
      </w: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| </w:t>
      </w:r>
      <w:r w:rsidRPr="00B97A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/>
        </w:rPr>
        <w:t>Beatrice Rana</w:t>
      </w:r>
    </w:p>
    <w:p w14:paraId="1807787B" w14:textId="4A713231" w:rsidR="00B97AE8" w:rsidRPr="00B97AE8" w:rsidRDefault="00B97AE8" w:rsidP="00B97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</w:pP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Programma</w:t>
      </w: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br/>
      </w:r>
      <w:r w:rsidR="00FB4F4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/>
        </w:rPr>
        <w:t>Sergej Prokof’ev</w:t>
      </w:r>
      <w:r w:rsidRPr="00B97A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/>
        </w:rPr>
        <w:t>, </w:t>
      </w:r>
      <w:r w:rsidR="00FB4F44" w:rsidRPr="00FB4F44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Dieci pezzi da </w:t>
      </w:r>
      <w:r w:rsidR="00FB4F44" w:rsidRPr="00FB4F44">
        <w:rPr>
          <w:rFonts w:ascii="Times New Roman" w:eastAsia="Times New Roman" w:hAnsi="Times New Roman" w:cs="Times New Roman"/>
          <w:i/>
          <w:iCs/>
          <w:color w:val="auto"/>
          <w:sz w:val="27"/>
          <w:szCs w:val="27"/>
          <w:bdr w:val="none" w:sz="0" w:space="0" w:color="auto"/>
        </w:rPr>
        <w:t>Romeo e Giulietta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, o</w:t>
      </w: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p. 75</w:t>
      </w: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br/>
        <w:t>N. 6, “I Montecchi e i Capuleti”</w:t>
      </w: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br/>
        <w:t>N. 7, “Frate Lorenzo”</w:t>
      </w: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br/>
        <w:t>N. 4, “Giulietta, giovane ragazza”</w:t>
      </w: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br/>
        <w:t>N. 8, “Mercuzio”</w:t>
      </w:r>
    </w:p>
    <w:p w14:paraId="71A5D14F" w14:textId="1A7F344B" w:rsidR="00B97AE8" w:rsidRPr="00FB4F44" w:rsidRDefault="00B97AE8" w:rsidP="00B97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</w:pPr>
      <w:r w:rsidRPr="00FB4F4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/>
        </w:rPr>
        <w:t>Claude Debussy, </w:t>
      </w:r>
      <w:r w:rsidR="00FB4F44" w:rsidRPr="00FB4F44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Livre II </w:t>
      </w:r>
      <w:r w:rsidR="00FB4F44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da </w:t>
      </w:r>
      <w:proofErr w:type="spellStart"/>
      <w:r w:rsidRPr="00FB4F44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Douze</w:t>
      </w:r>
      <w:proofErr w:type="spellEnd"/>
      <w:r w:rsidRPr="00FB4F44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 </w:t>
      </w:r>
      <w:proofErr w:type="spellStart"/>
      <w:r w:rsidRPr="00FB4F44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Études</w:t>
      </w:r>
      <w:proofErr w:type="spellEnd"/>
      <w:r w:rsidR="00FB4F44" w:rsidRPr="00FB4F44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 per pianoforte L. 143, </w:t>
      </w:r>
    </w:p>
    <w:p w14:paraId="29E315D1" w14:textId="77777777" w:rsidR="00FB4F44" w:rsidRDefault="00FB4F44" w:rsidP="00FB4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</w:pPr>
      <w:r w:rsidRPr="000125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Pëtr Il'ič Čajkovskij</w:t>
      </w:r>
      <w:r w:rsidR="00B97AE8" w:rsidRPr="00B97A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/>
        </w:rPr>
        <w:t>, 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Suite da </w:t>
      </w:r>
      <w:r w:rsidR="00B97AE8" w:rsidRPr="00B97AE8">
        <w:rPr>
          <w:rFonts w:ascii="Times New Roman" w:eastAsia="Times New Roman" w:hAnsi="Times New Roman" w:cs="Times New Roman"/>
          <w:i/>
          <w:iCs/>
          <w:color w:val="auto"/>
          <w:sz w:val="27"/>
          <w:szCs w:val="27"/>
          <w:bdr w:val="none" w:sz="0" w:space="0" w:color="auto"/>
        </w:rPr>
        <w:t xml:space="preserve">Lo </w:t>
      </w:r>
      <w:r>
        <w:rPr>
          <w:rFonts w:ascii="Times New Roman" w:eastAsia="Times New Roman" w:hAnsi="Times New Roman" w:cs="Times New Roman"/>
          <w:i/>
          <w:iCs/>
          <w:color w:val="auto"/>
          <w:sz w:val="27"/>
          <w:szCs w:val="27"/>
          <w:bdr w:val="none" w:sz="0" w:space="0" w:color="auto"/>
        </w:rPr>
        <w:t>s</w:t>
      </w:r>
      <w:r w:rsidR="00B97AE8" w:rsidRPr="00B97AE8">
        <w:rPr>
          <w:rFonts w:ascii="Times New Roman" w:eastAsia="Times New Roman" w:hAnsi="Times New Roman" w:cs="Times New Roman"/>
          <w:i/>
          <w:iCs/>
          <w:color w:val="auto"/>
          <w:sz w:val="27"/>
          <w:szCs w:val="27"/>
          <w:bdr w:val="none" w:sz="0" w:space="0" w:color="auto"/>
        </w:rPr>
        <w:t>chiaccianoci</w:t>
      </w:r>
      <w:r w:rsidR="00B97AE8" w:rsidRPr="00FB4F44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,</w:t>
      </w:r>
      <w:r w:rsidR="00B97AE8" w:rsidRPr="00B97AE8">
        <w:rPr>
          <w:rFonts w:ascii="Times New Roman" w:eastAsia="Times New Roman" w:hAnsi="Times New Roman" w:cs="Times New Roman"/>
          <w:i/>
          <w:iCs/>
          <w:color w:val="auto"/>
          <w:sz w:val="27"/>
          <w:szCs w:val="27"/>
          <w:bdr w:val="none" w:sz="0" w:space="0" w:color="auto"/>
        </w:rPr>
        <w:t xml:space="preserve"> </w:t>
      </w:r>
      <w:r w:rsidR="00B97AE8"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op. 71a </w:t>
      </w:r>
    </w:p>
    <w:p w14:paraId="015BC09C" w14:textId="222BA787" w:rsidR="00B97AE8" w:rsidRPr="00B97AE8" w:rsidRDefault="00FB4F44" w:rsidP="00FB4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A</w:t>
      </w:r>
      <w:r w:rsidR="00B97AE8"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rrangiamento per pianoforte di </w:t>
      </w:r>
      <w:r w:rsidRPr="00FB4F4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Michail Pletnëv</w:t>
      </w:r>
    </w:p>
    <w:p w14:paraId="5EC494ED" w14:textId="30278909" w:rsidR="00B97AE8" w:rsidRPr="00B97AE8" w:rsidRDefault="00FB4F44" w:rsidP="00B97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/>
        </w:rPr>
        <w:t>Sergej Prokof’ev</w:t>
      </w:r>
      <w:r w:rsidR="00B97AE8" w:rsidRPr="00B97A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/>
        </w:rPr>
        <w:t>, </w:t>
      </w:r>
      <w:r w:rsidR="00B97AE8" w:rsidRPr="00FB4F44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Sonata n.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 </w:t>
      </w:r>
      <w:r w:rsidR="00B97AE8" w:rsidRPr="00FB4F44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6</w:t>
      </w:r>
      <w:r w:rsidR="00B97AE8"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 in la maggiore per pianoforte, op. 82</w:t>
      </w:r>
    </w:p>
    <w:p w14:paraId="21D04778" w14:textId="77D6863E" w:rsidR="00B97AE8" w:rsidRPr="00B97AE8" w:rsidRDefault="00B97AE8" w:rsidP="00B97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</w:pPr>
      <w:r w:rsidRPr="00B97A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/>
        </w:rPr>
        <w:t>Teatro di San Carlo | BLU</w:t>
      </w:r>
      <w:r w:rsidRPr="00B97A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bdr w:val="none" w:sz="0" w:space="0" w:color="auto"/>
        </w:rPr>
        <w:br/>
      </w: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mercoledì 21 gennaio 2026, ore 20:00 </w:t>
      </w:r>
      <w:r w:rsidR="00464C8D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-</w:t>
      </w: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 F.A. </w:t>
      </w:r>
      <w:r w:rsidR="00464C8D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-</w:t>
      </w: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 BLU </w:t>
      </w:r>
      <w:r w:rsidR="00464C8D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-</w:t>
      </w: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 xml:space="preserve"> VIII</w:t>
      </w:r>
    </w:p>
    <w:p w14:paraId="4E52969E" w14:textId="77777777" w:rsidR="00B97AE8" w:rsidRPr="00B97AE8" w:rsidRDefault="00B97AE8" w:rsidP="00B97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</w:pPr>
      <w:r w:rsidRPr="00B97AE8">
        <w:rPr>
          <w:rFonts w:ascii="Times New Roman" w:eastAsia="Times New Roman" w:hAnsi="Times New Roman" w:cs="Times New Roman"/>
          <w:color w:val="auto"/>
          <w:sz w:val="27"/>
          <w:szCs w:val="27"/>
          <w:bdr w:val="none" w:sz="0" w:space="0" w:color="auto"/>
        </w:rPr>
        <w:t>Durata: 1 ora e 30 minuti circa, con intervallo</w:t>
      </w:r>
    </w:p>
    <w:p w14:paraId="516904F0" w14:textId="77777777" w:rsidR="00B97AE8" w:rsidRPr="00B97AE8" w:rsidRDefault="00B97AE8" w:rsidP="00B97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Inter" w:eastAsia="Times New Roman" w:hAnsi="Inter" w:cs="Times New Roman"/>
          <w:color w:val="857B7B"/>
          <w:sz w:val="27"/>
          <w:szCs w:val="27"/>
          <w:bdr w:val="none" w:sz="0" w:space="0" w:color="auto"/>
        </w:rPr>
      </w:pPr>
      <w:r w:rsidRPr="00B97AE8">
        <w:rPr>
          <w:rFonts w:ascii="Inter" w:eastAsia="Times New Roman" w:hAnsi="Inter" w:cs="Times New Roman"/>
          <w:b/>
          <w:bCs/>
          <w:color w:val="857B7B"/>
          <w:sz w:val="27"/>
          <w:szCs w:val="27"/>
          <w:bdr w:val="none" w:sz="0" w:space="0" w:color="auto"/>
        </w:rPr>
        <w:t> </w:t>
      </w:r>
    </w:p>
    <w:p w14:paraId="3D526371" w14:textId="77777777" w:rsidR="00D505A1" w:rsidRPr="00843612" w:rsidRDefault="00D505A1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88FE246" w14:textId="77777777" w:rsidR="0017793A" w:rsidRDefault="0017793A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9963E04" w14:textId="0F6A06C7" w:rsidR="0017793A" w:rsidRPr="00BE03C1" w:rsidRDefault="0017793A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sectPr w:rsidR="0017793A" w:rsidRPr="00BE03C1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1BF5" w14:textId="77777777" w:rsidR="00551362" w:rsidRDefault="00551362">
      <w:pPr>
        <w:spacing w:after="0" w:line="240" w:lineRule="auto"/>
      </w:pPr>
      <w:r>
        <w:separator/>
      </w:r>
    </w:p>
  </w:endnote>
  <w:endnote w:type="continuationSeparator" w:id="0">
    <w:p w14:paraId="4107837E" w14:textId="77777777" w:rsidR="00551362" w:rsidRDefault="0055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2728" w14:textId="77777777" w:rsidR="00551362" w:rsidRDefault="00551362">
      <w:pPr>
        <w:spacing w:after="0" w:line="240" w:lineRule="auto"/>
      </w:pPr>
      <w:r>
        <w:separator/>
      </w:r>
    </w:p>
  </w:footnote>
  <w:footnote w:type="continuationSeparator" w:id="0">
    <w:p w14:paraId="29BD8066" w14:textId="77777777" w:rsidR="00551362" w:rsidRDefault="00551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7F34" w14:textId="1DB21DDB" w:rsidR="00F26D38" w:rsidRDefault="00F26D3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01F31" wp14:editId="795C098F">
          <wp:simplePos x="0" y="0"/>
          <wp:positionH relativeFrom="margin">
            <wp:align>center</wp:align>
          </wp:positionH>
          <wp:positionV relativeFrom="paragraph">
            <wp:posOffset>-356137</wp:posOffset>
          </wp:positionV>
          <wp:extent cx="1845945" cy="715010"/>
          <wp:effectExtent l="0" t="0" r="1905" b="8890"/>
          <wp:wrapTight wrapText="bothSides">
            <wp:wrapPolygon edited="0">
              <wp:start x="0" y="0"/>
              <wp:lineTo x="0" y="21293"/>
              <wp:lineTo x="21399" y="21293"/>
              <wp:lineTo x="21399" y="0"/>
              <wp:lineTo x="0" y="0"/>
            </wp:wrapPolygon>
          </wp:wrapTight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945" cy="7150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441F2"/>
    <w:rsid w:val="000470FA"/>
    <w:rsid w:val="000804B1"/>
    <w:rsid w:val="00080765"/>
    <w:rsid w:val="00083664"/>
    <w:rsid w:val="00104DF5"/>
    <w:rsid w:val="001466E7"/>
    <w:rsid w:val="00161772"/>
    <w:rsid w:val="0017793A"/>
    <w:rsid w:val="001B59B0"/>
    <w:rsid w:val="001E4E64"/>
    <w:rsid w:val="002012D5"/>
    <w:rsid w:val="00227061"/>
    <w:rsid w:val="002464AB"/>
    <w:rsid w:val="00251327"/>
    <w:rsid w:val="0026573D"/>
    <w:rsid w:val="0026777C"/>
    <w:rsid w:val="00296BE3"/>
    <w:rsid w:val="002D6F29"/>
    <w:rsid w:val="00307F5B"/>
    <w:rsid w:val="00317498"/>
    <w:rsid w:val="00326B57"/>
    <w:rsid w:val="00342806"/>
    <w:rsid w:val="0039120D"/>
    <w:rsid w:val="003A51CE"/>
    <w:rsid w:val="003B795D"/>
    <w:rsid w:val="003C6E0F"/>
    <w:rsid w:val="003D7432"/>
    <w:rsid w:val="003E55B1"/>
    <w:rsid w:val="003F2141"/>
    <w:rsid w:val="0041597C"/>
    <w:rsid w:val="004214E7"/>
    <w:rsid w:val="0045208F"/>
    <w:rsid w:val="004543A3"/>
    <w:rsid w:val="00464C8D"/>
    <w:rsid w:val="00475DE8"/>
    <w:rsid w:val="00482C1F"/>
    <w:rsid w:val="00493F13"/>
    <w:rsid w:val="004C606C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51362"/>
    <w:rsid w:val="005608C1"/>
    <w:rsid w:val="005D759F"/>
    <w:rsid w:val="00600A32"/>
    <w:rsid w:val="00615DEA"/>
    <w:rsid w:val="00670EDB"/>
    <w:rsid w:val="00690C79"/>
    <w:rsid w:val="006C2DC2"/>
    <w:rsid w:val="006D1C73"/>
    <w:rsid w:val="006F131A"/>
    <w:rsid w:val="00767C4E"/>
    <w:rsid w:val="007720A7"/>
    <w:rsid w:val="00776D92"/>
    <w:rsid w:val="00782644"/>
    <w:rsid w:val="007B7B1B"/>
    <w:rsid w:val="007D29E1"/>
    <w:rsid w:val="00823B8B"/>
    <w:rsid w:val="008252DE"/>
    <w:rsid w:val="00843612"/>
    <w:rsid w:val="0085579D"/>
    <w:rsid w:val="00892225"/>
    <w:rsid w:val="008A0DC9"/>
    <w:rsid w:val="008B7211"/>
    <w:rsid w:val="008C2A88"/>
    <w:rsid w:val="008C770F"/>
    <w:rsid w:val="008D7F39"/>
    <w:rsid w:val="008F2041"/>
    <w:rsid w:val="00921AFB"/>
    <w:rsid w:val="00923F85"/>
    <w:rsid w:val="009430D6"/>
    <w:rsid w:val="00977843"/>
    <w:rsid w:val="009A7257"/>
    <w:rsid w:val="009A7526"/>
    <w:rsid w:val="009B5E88"/>
    <w:rsid w:val="009C2174"/>
    <w:rsid w:val="009E1490"/>
    <w:rsid w:val="009F6485"/>
    <w:rsid w:val="00A30C25"/>
    <w:rsid w:val="00A35F9E"/>
    <w:rsid w:val="00A65382"/>
    <w:rsid w:val="00A73E2D"/>
    <w:rsid w:val="00A8257C"/>
    <w:rsid w:val="00AA1D83"/>
    <w:rsid w:val="00AB437A"/>
    <w:rsid w:val="00AC7DF2"/>
    <w:rsid w:val="00B00ECA"/>
    <w:rsid w:val="00B1482D"/>
    <w:rsid w:val="00B63919"/>
    <w:rsid w:val="00B97AE8"/>
    <w:rsid w:val="00BE03C1"/>
    <w:rsid w:val="00BE50A4"/>
    <w:rsid w:val="00C00DC2"/>
    <w:rsid w:val="00C11D98"/>
    <w:rsid w:val="00C30253"/>
    <w:rsid w:val="00C32296"/>
    <w:rsid w:val="00C74046"/>
    <w:rsid w:val="00C82635"/>
    <w:rsid w:val="00C9029C"/>
    <w:rsid w:val="00C94A10"/>
    <w:rsid w:val="00C96805"/>
    <w:rsid w:val="00CA5421"/>
    <w:rsid w:val="00CB1CAE"/>
    <w:rsid w:val="00CC762C"/>
    <w:rsid w:val="00CE6596"/>
    <w:rsid w:val="00CF46E9"/>
    <w:rsid w:val="00CF5791"/>
    <w:rsid w:val="00D07D02"/>
    <w:rsid w:val="00D167B9"/>
    <w:rsid w:val="00D16D20"/>
    <w:rsid w:val="00D505A1"/>
    <w:rsid w:val="00D532C0"/>
    <w:rsid w:val="00D64E14"/>
    <w:rsid w:val="00D768A6"/>
    <w:rsid w:val="00D96664"/>
    <w:rsid w:val="00DD492D"/>
    <w:rsid w:val="00DE7323"/>
    <w:rsid w:val="00E01FE7"/>
    <w:rsid w:val="00E1152C"/>
    <w:rsid w:val="00E24EFB"/>
    <w:rsid w:val="00E5193D"/>
    <w:rsid w:val="00E674A0"/>
    <w:rsid w:val="00E85BAF"/>
    <w:rsid w:val="00E93C4F"/>
    <w:rsid w:val="00EA1E1E"/>
    <w:rsid w:val="00EB0B83"/>
    <w:rsid w:val="00EB1ABC"/>
    <w:rsid w:val="00EB269C"/>
    <w:rsid w:val="00EE4A3C"/>
    <w:rsid w:val="00F02E34"/>
    <w:rsid w:val="00F20B23"/>
    <w:rsid w:val="00F26D38"/>
    <w:rsid w:val="00F43980"/>
    <w:rsid w:val="00F56641"/>
    <w:rsid w:val="00F953A4"/>
    <w:rsid w:val="00F96CB4"/>
    <w:rsid w:val="00FA17DC"/>
    <w:rsid w:val="00FA4791"/>
    <w:rsid w:val="00FB4F44"/>
    <w:rsid w:val="00FE12D1"/>
    <w:rsid w:val="00FF2CB9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3</cp:revision>
  <dcterms:created xsi:type="dcterms:W3CDTF">2026-01-19T20:49:00Z</dcterms:created>
  <dcterms:modified xsi:type="dcterms:W3CDTF">2026-01-20T08:27:00Z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